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w:t>
      </w:r>
      <w:r w:rsidR="00877C60">
        <w:rPr>
          <w:noProof w:val="0"/>
          <w:sz w:val="24"/>
          <w:szCs w:val="24"/>
          <w:lang w:val="en-GB"/>
        </w:rPr>
        <w:t>3</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E01042">
        <w:rPr>
          <w:bCs/>
          <w:noProof w:val="0"/>
          <w:sz w:val="24"/>
          <w:lang w:val="en-GB" w:eastAsia="ja-JP"/>
        </w:rPr>
        <w:t>5695</w:t>
      </w:r>
      <w:bookmarkStart w:id="3" w:name="_GoBack"/>
      <w:bookmarkEnd w:id="3"/>
    </w:p>
    <w:p w:rsidR="00787640" w:rsidRPr="00461210" w:rsidRDefault="00877C60" w:rsidP="00F7039A">
      <w:pPr>
        <w:pStyle w:val="Header"/>
        <w:tabs>
          <w:tab w:val="right" w:pos="9639"/>
        </w:tabs>
        <w:rPr>
          <w:bCs/>
          <w:noProof w:val="0"/>
          <w:sz w:val="24"/>
          <w:lang w:val="en-GB"/>
        </w:rPr>
      </w:pPr>
      <w:r>
        <w:rPr>
          <w:noProof w:val="0"/>
          <w:sz w:val="24"/>
          <w:lang w:val="en-GB"/>
        </w:rPr>
        <w:t>Hangzhou</w:t>
      </w:r>
      <w:r w:rsidR="00A07F41">
        <w:rPr>
          <w:noProof w:val="0"/>
          <w:sz w:val="24"/>
          <w:lang w:val="en-GB"/>
        </w:rPr>
        <w:t xml:space="preserve">, </w:t>
      </w:r>
      <w:r>
        <w:rPr>
          <w:noProof w:val="0"/>
          <w:sz w:val="24"/>
          <w:lang w:val="en-GB"/>
        </w:rPr>
        <w:t>China</w:t>
      </w:r>
      <w:r w:rsidR="00E176EA">
        <w:rPr>
          <w:noProof w:val="0"/>
          <w:sz w:val="24"/>
          <w:lang w:val="en-GB"/>
        </w:rPr>
        <w:t xml:space="preserve">, </w:t>
      </w:r>
      <w:r>
        <w:rPr>
          <w:bCs/>
          <w:sz w:val="24"/>
          <w:lang w:eastAsia="zh-CN"/>
        </w:rPr>
        <w:t>15</w:t>
      </w:r>
      <w:r w:rsidR="009B7B48">
        <w:rPr>
          <w:bCs/>
          <w:sz w:val="24"/>
          <w:lang w:eastAsia="zh-CN"/>
        </w:rPr>
        <w:t xml:space="preserve"> </w:t>
      </w:r>
      <w:r w:rsidR="008579DF">
        <w:rPr>
          <w:bCs/>
          <w:sz w:val="24"/>
          <w:lang w:eastAsia="zh-CN"/>
        </w:rPr>
        <w:t>-</w:t>
      </w:r>
      <w:r w:rsidR="009B7B48">
        <w:rPr>
          <w:bCs/>
          <w:sz w:val="24"/>
          <w:lang w:eastAsia="zh-CN"/>
        </w:rPr>
        <w:t xml:space="preserve"> </w:t>
      </w:r>
      <w:r>
        <w:rPr>
          <w:bCs/>
          <w:sz w:val="24"/>
          <w:lang w:eastAsia="zh-CN"/>
        </w:rPr>
        <w:t>19</w:t>
      </w:r>
      <w:r w:rsidR="00D1404E">
        <w:rPr>
          <w:bCs/>
          <w:sz w:val="24"/>
          <w:lang w:eastAsia="zh-CN"/>
        </w:rPr>
        <w:t xml:space="preserve"> </w:t>
      </w:r>
      <w:r>
        <w:rPr>
          <w:bCs/>
          <w:sz w:val="24"/>
          <w:lang w:eastAsia="zh-CN"/>
        </w:rPr>
        <w:t>May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80962">
        <w:rPr>
          <w:rFonts w:ascii="Arial" w:hAnsi="Arial" w:cs="Arial"/>
          <w:b/>
          <w:bCs/>
          <w:sz w:val="24"/>
        </w:rPr>
        <w:t xml:space="preserve">L-band </w:t>
      </w:r>
      <w:r w:rsidR="00877C60">
        <w:rPr>
          <w:rFonts w:ascii="Arial" w:hAnsi="Arial" w:cs="Arial"/>
          <w:b/>
          <w:bCs/>
          <w:sz w:val="24"/>
        </w:rPr>
        <w:t>TDD</w:t>
      </w:r>
      <w:r w:rsidR="00280962">
        <w:rPr>
          <w:rFonts w:ascii="Arial" w:hAnsi="Arial" w:cs="Arial"/>
          <w:b/>
          <w:bCs/>
          <w:sz w:val="24"/>
        </w:rPr>
        <w:t xml:space="preserve"> UE </w:t>
      </w:r>
      <w:r w:rsidR="00877C60">
        <w:rPr>
          <w:rFonts w:ascii="Arial" w:hAnsi="Arial" w:cs="Arial"/>
          <w:b/>
          <w:bCs/>
          <w:sz w:val="24"/>
        </w:rPr>
        <w:t>coexistence with MSS</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375D3">
        <w:rPr>
          <w:rFonts w:cs="Arial"/>
          <w:b/>
          <w:bCs/>
          <w:sz w:val="24"/>
        </w:rPr>
        <w:t>9.6</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877C60" w:rsidRDefault="00A735C8" w:rsidP="00A22423">
      <w:pPr>
        <w:rPr>
          <w:lang w:val="en-GB"/>
        </w:rPr>
      </w:pPr>
      <w:bookmarkStart w:id="6" w:name="OLE_LINK13"/>
      <w:bookmarkStart w:id="7" w:name="OLE_LINK14"/>
      <w:r>
        <w:rPr>
          <w:lang w:val="en-GB"/>
        </w:rPr>
        <w:t>In RAN4#8</w:t>
      </w:r>
      <w:r w:rsidR="0046249C">
        <w:rPr>
          <w:lang w:val="en-GB"/>
        </w:rPr>
        <w:t>2</w:t>
      </w:r>
      <w:r w:rsidR="00877C60">
        <w:rPr>
          <w:lang w:val="en-GB"/>
        </w:rPr>
        <w:t>bis</w:t>
      </w:r>
      <w:r w:rsidR="0046249C">
        <w:rPr>
          <w:lang w:val="en-GB"/>
        </w:rPr>
        <w:t>,</w:t>
      </w:r>
      <w:r w:rsidR="00877C60">
        <w:rPr>
          <w:lang w:val="en-GB"/>
        </w:rPr>
        <w:t xml:space="preserve"> a UE coexistence requirement with MSS was discussed [1] and a </w:t>
      </w:r>
      <w:r>
        <w:rPr>
          <w:lang w:val="en-GB"/>
        </w:rPr>
        <w:t xml:space="preserve">WF </w:t>
      </w:r>
      <w:r w:rsidR="00877C60">
        <w:rPr>
          <w:lang w:val="en-GB"/>
        </w:rPr>
        <w:t>was agreed to further study it</w:t>
      </w:r>
      <w:r w:rsidR="00410416">
        <w:rPr>
          <w:lang w:val="en-GB"/>
        </w:rPr>
        <w:t xml:space="preserve"> [2] in the following</w:t>
      </w:r>
      <w:r w:rsidR="00877C60">
        <w:rPr>
          <w:lang w:val="en-GB"/>
        </w:rPr>
        <w:t>.</w:t>
      </w:r>
    </w:p>
    <w:p w:rsidR="00877C60" w:rsidRPr="00877C60" w:rsidRDefault="00877C60" w:rsidP="00A22423">
      <w:pPr>
        <w:ind w:left="284"/>
        <w:rPr>
          <w:b/>
          <w:i/>
          <w:lang w:val="en-GB"/>
        </w:rPr>
      </w:pPr>
      <w:r w:rsidRPr="00877C60">
        <w:rPr>
          <w:b/>
          <w:i/>
          <w:lang w:val="en-GB"/>
        </w:rPr>
        <w:t>For UE in the band(s) 1492 – [1517/1518] MHz to add in the TR</w:t>
      </w:r>
    </w:p>
    <w:p w:rsidR="00877C60" w:rsidRPr="00877C60" w:rsidRDefault="00877C60" w:rsidP="00A22423">
      <w:pPr>
        <w:ind w:left="284"/>
        <w:rPr>
          <w:b/>
          <w:i/>
          <w:lang w:val="en-GB"/>
        </w:rPr>
      </w:pPr>
      <w:r w:rsidRPr="00877C60">
        <w:rPr>
          <w:b/>
          <w:i/>
          <w:lang w:val="en-GB"/>
        </w:rPr>
        <w:t>To protect MSS, need further studies and to take a decision about the level to protect MSS at the next RAN4 meeting. Technical solution to be consistent to the MSS protection level should be also proposed at the next RAN4 meeting.</w:t>
      </w:r>
    </w:p>
    <w:p w:rsidR="00FD060A" w:rsidRDefault="00280962" w:rsidP="00A22423">
      <w:pPr>
        <w:rPr>
          <w:lang w:val="en-GB"/>
        </w:rPr>
      </w:pPr>
      <w:r>
        <w:rPr>
          <w:lang w:val="en-GB"/>
        </w:rPr>
        <w:t>In this contribution</w:t>
      </w:r>
      <w:r w:rsidR="0024658D">
        <w:rPr>
          <w:lang w:val="en-GB"/>
        </w:rPr>
        <w:t>, t</w:t>
      </w:r>
      <w:r>
        <w:rPr>
          <w:lang w:val="en-GB"/>
        </w:rPr>
        <w:t>he UE coexistence</w:t>
      </w:r>
      <w:r w:rsidR="0024658D">
        <w:rPr>
          <w:lang w:val="en-GB"/>
        </w:rPr>
        <w:t xml:space="preserve"> requirement is </w:t>
      </w:r>
      <w:r w:rsidR="00D3689E">
        <w:rPr>
          <w:lang w:val="en-GB"/>
        </w:rPr>
        <w:t>studied and</w:t>
      </w:r>
      <w:r w:rsidR="0024658D">
        <w:rPr>
          <w:lang w:val="en-GB"/>
        </w:rPr>
        <w:t xml:space="preserve"> </w:t>
      </w:r>
      <w:r w:rsidR="00D3689E">
        <w:rPr>
          <w:lang w:val="en-GB"/>
        </w:rPr>
        <w:t>a</w:t>
      </w:r>
      <w:r w:rsidR="0024658D">
        <w:rPr>
          <w:lang w:val="en-GB"/>
        </w:rPr>
        <w:t xml:space="preserve"> </w:t>
      </w:r>
      <w:r w:rsidR="00D108F5">
        <w:rPr>
          <w:lang w:val="en-GB"/>
        </w:rPr>
        <w:t>wayforward to address the issue is presented.</w:t>
      </w:r>
    </w:p>
    <w:p w:rsidR="0024658D" w:rsidRPr="00FD060A" w:rsidRDefault="0024658D" w:rsidP="00B551B5">
      <w:pPr>
        <w:pStyle w:val="Doc-text2"/>
        <w:ind w:left="0" w:firstLine="0"/>
        <w:rPr>
          <w:rFonts w:ascii="Times New Roman" w:hAnsi="Times New Roman"/>
          <w:sz w:val="20"/>
          <w:lang w:val="en-US"/>
        </w:rPr>
      </w:pPr>
    </w:p>
    <w:bookmarkEnd w:id="6"/>
    <w:bookmarkEnd w:id="7"/>
    <w:p w:rsidR="00423A6A" w:rsidRDefault="00423A6A" w:rsidP="00423A6A">
      <w:pPr>
        <w:pStyle w:val="Heading1"/>
      </w:pPr>
      <w:r>
        <w:t>2</w:t>
      </w:r>
      <w:r>
        <w:tab/>
      </w:r>
      <w:r w:rsidR="002E6D98">
        <w:t>Discussion</w:t>
      </w:r>
    </w:p>
    <w:p w:rsidR="00A22423" w:rsidRDefault="000253FC" w:rsidP="00A22423">
      <w:pPr>
        <w:rPr>
          <w:lang w:val="en-GB"/>
        </w:rPr>
      </w:pPr>
      <w:r>
        <w:rPr>
          <w:lang w:val="en-GB"/>
        </w:rPr>
        <w:t xml:space="preserve">In ECC report [3], the compatibility of IMT </w:t>
      </w:r>
      <w:r w:rsidR="00DC64E5">
        <w:rPr>
          <w:lang w:val="en-GB"/>
        </w:rPr>
        <w:t>BS (base station)</w:t>
      </w:r>
      <w:r>
        <w:rPr>
          <w:lang w:val="en-GB"/>
        </w:rPr>
        <w:t xml:space="preserve"> and MES </w:t>
      </w:r>
      <w:r w:rsidR="00DC64E5">
        <w:rPr>
          <w:lang w:val="en-GB"/>
        </w:rPr>
        <w:t xml:space="preserve">(mobile earth station) </w:t>
      </w:r>
      <w:r>
        <w:rPr>
          <w:lang w:val="en-GB"/>
        </w:rPr>
        <w:t xml:space="preserve">has been analysed. </w:t>
      </w:r>
      <w:r w:rsidR="00D83C2C">
        <w:rPr>
          <w:lang w:val="en-GB"/>
        </w:rPr>
        <w:t>Although the BS considered in the analysis is</w:t>
      </w:r>
      <w:r w:rsidR="00A22423">
        <w:rPr>
          <w:lang w:val="en-GB"/>
        </w:rPr>
        <w:t xml:space="preserve"> </w:t>
      </w:r>
      <w:r w:rsidR="00DC64E5">
        <w:rPr>
          <w:lang w:val="en-GB"/>
        </w:rPr>
        <w:t xml:space="preserve">for </w:t>
      </w:r>
      <w:r w:rsidR="00A22423">
        <w:rPr>
          <w:lang w:val="en-GB"/>
        </w:rPr>
        <w:t xml:space="preserve">SDL, </w:t>
      </w:r>
      <w:r w:rsidR="001E3E98">
        <w:rPr>
          <w:lang w:val="en-GB"/>
        </w:rPr>
        <w:t>the analysis can be reused for</w:t>
      </w:r>
      <w:r w:rsidR="00D83C2C">
        <w:rPr>
          <w:lang w:val="en-GB"/>
        </w:rPr>
        <w:t xml:space="preserve"> TDD</w:t>
      </w:r>
      <w:r w:rsidR="00DC64E5">
        <w:rPr>
          <w:lang w:val="en-GB"/>
        </w:rPr>
        <w:t xml:space="preserve"> </w:t>
      </w:r>
      <w:r w:rsidR="00732E9E">
        <w:rPr>
          <w:lang w:val="en-GB"/>
        </w:rPr>
        <w:t>if</w:t>
      </w:r>
      <w:r w:rsidR="00DC64E5">
        <w:rPr>
          <w:lang w:val="en-GB"/>
        </w:rPr>
        <w:t xml:space="preserve"> band plan and </w:t>
      </w:r>
      <w:r w:rsidR="00732E9E">
        <w:rPr>
          <w:lang w:val="en-GB"/>
        </w:rPr>
        <w:t>all deployment parameters are the same as SDL</w:t>
      </w:r>
      <w:r w:rsidR="00DC64E5">
        <w:rPr>
          <w:lang w:val="en-GB"/>
        </w:rPr>
        <w:t xml:space="preserve"> [2]</w:t>
      </w:r>
      <w:r w:rsidR="00732E9E">
        <w:rPr>
          <w:lang w:val="en-GB"/>
        </w:rPr>
        <w:t>.</w:t>
      </w:r>
      <w:r w:rsidR="001E3E98">
        <w:rPr>
          <w:lang w:val="en-GB"/>
        </w:rPr>
        <w:t xml:space="preserve"> However, this is up regulators who consider allocating TDD.</w:t>
      </w:r>
    </w:p>
    <w:p w:rsidR="00D83C2C" w:rsidRDefault="00410416" w:rsidP="00A22423">
      <w:pPr>
        <w:rPr>
          <w:lang w:val="en-GB"/>
        </w:rPr>
      </w:pPr>
      <w:r>
        <w:rPr>
          <w:lang w:val="en-GB"/>
        </w:rPr>
        <w:t xml:space="preserve">On the other hand, there has been no </w:t>
      </w:r>
      <w:r w:rsidR="001E3E98">
        <w:rPr>
          <w:lang w:val="en-GB"/>
        </w:rPr>
        <w:t xml:space="preserve">completed </w:t>
      </w:r>
      <w:r w:rsidR="00DC64E5">
        <w:rPr>
          <w:lang w:val="en-GB"/>
        </w:rPr>
        <w:t xml:space="preserve">regulatory </w:t>
      </w:r>
      <w:r>
        <w:rPr>
          <w:lang w:val="en-GB"/>
        </w:rPr>
        <w:t xml:space="preserve">study regarding the compatibility between IMT </w:t>
      </w:r>
      <w:r w:rsidR="00953241">
        <w:rPr>
          <w:lang w:val="en-GB"/>
        </w:rPr>
        <w:t>MS (</w:t>
      </w:r>
      <w:r w:rsidR="00732E9E">
        <w:rPr>
          <w:lang w:val="en-GB"/>
        </w:rPr>
        <w:t>mobile station)</w:t>
      </w:r>
      <w:r>
        <w:rPr>
          <w:lang w:val="en-GB"/>
        </w:rPr>
        <w:t xml:space="preserve"> and MES</w:t>
      </w:r>
      <w:r w:rsidR="00D83C2C">
        <w:rPr>
          <w:lang w:val="en-GB"/>
        </w:rPr>
        <w:t xml:space="preserve">. </w:t>
      </w:r>
      <w:r>
        <w:rPr>
          <w:lang w:val="en-GB"/>
        </w:rPr>
        <w:t>Therefore</w:t>
      </w:r>
      <w:r w:rsidR="00D83C2C">
        <w:rPr>
          <w:lang w:val="en-GB"/>
        </w:rPr>
        <w:t xml:space="preserve">, it is not possible to conclude the UE </w:t>
      </w:r>
      <w:r w:rsidR="00D70DD4">
        <w:rPr>
          <w:lang w:val="en-GB"/>
        </w:rPr>
        <w:t>emission requirement towards</w:t>
      </w:r>
      <w:r w:rsidR="00D83C2C">
        <w:rPr>
          <w:lang w:val="en-GB"/>
        </w:rPr>
        <w:t xml:space="preserve"> MSS </w:t>
      </w:r>
      <w:r w:rsidR="00D70DD4">
        <w:rPr>
          <w:lang w:val="en-GB"/>
        </w:rPr>
        <w:t>band</w:t>
      </w:r>
      <w:r>
        <w:rPr>
          <w:lang w:val="en-GB"/>
        </w:rPr>
        <w:t xml:space="preserve"> in RAN4</w:t>
      </w:r>
      <w:r w:rsidR="00D83C2C">
        <w:rPr>
          <w:lang w:val="en-GB"/>
        </w:rPr>
        <w:t>.</w:t>
      </w:r>
    </w:p>
    <w:p w:rsidR="00D83C2C" w:rsidRPr="00A22423" w:rsidRDefault="00D83C2C" w:rsidP="00A22423">
      <w:pPr>
        <w:rPr>
          <w:b/>
          <w:i/>
          <w:lang w:val="en-GB"/>
        </w:rPr>
      </w:pPr>
      <w:r w:rsidRPr="00A22423">
        <w:rPr>
          <w:b/>
          <w:i/>
          <w:lang w:val="en-GB"/>
        </w:rPr>
        <w:t>Observation 1: Compatibility between IMT MS and MES</w:t>
      </w:r>
      <w:r w:rsidR="00D70DD4" w:rsidRPr="00A22423">
        <w:rPr>
          <w:b/>
          <w:i/>
          <w:lang w:val="en-GB"/>
        </w:rPr>
        <w:t xml:space="preserve"> needs further </w:t>
      </w:r>
      <w:r w:rsidR="00410416">
        <w:rPr>
          <w:b/>
          <w:i/>
          <w:lang w:val="en-GB"/>
        </w:rPr>
        <w:t xml:space="preserve">study in regulatory </w:t>
      </w:r>
      <w:r w:rsidR="001D23C1">
        <w:rPr>
          <w:b/>
          <w:i/>
          <w:lang w:val="en-GB"/>
        </w:rPr>
        <w:t>bodies</w:t>
      </w:r>
      <w:r w:rsidR="00A22423" w:rsidRPr="00A22423">
        <w:rPr>
          <w:b/>
          <w:i/>
          <w:lang w:val="en-GB"/>
        </w:rPr>
        <w:t xml:space="preserve">. </w:t>
      </w:r>
      <w:r w:rsidR="00D70DD4" w:rsidRPr="00A22423">
        <w:rPr>
          <w:b/>
          <w:i/>
          <w:lang w:val="en-GB"/>
        </w:rPr>
        <w:t>RAN4 cannot concl</w:t>
      </w:r>
      <w:r w:rsidR="00A22423" w:rsidRPr="00A22423">
        <w:rPr>
          <w:b/>
          <w:i/>
          <w:lang w:val="en-GB"/>
        </w:rPr>
        <w:t>ude the coexistence requirement with satellite systems.</w:t>
      </w:r>
    </w:p>
    <w:p w:rsidR="00A22423" w:rsidRDefault="00A22423" w:rsidP="00520F8E">
      <w:pPr>
        <w:rPr>
          <w:lang w:val="en-GB"/>
        </w:rPr>
      </w:pPr>
    </w:p>
    <w:p w:rsidR="00A22423" w:rsidRDefault="00A22423" w:rsidP="00520F8E">
      <w:pPr>
        <w:rPr>
          <w:lang w:val="en-GB"/>
        </w:rPr>
      </w:pPr>
      <w:r>
        <w:rPr>
          <w:lang w:val="en-GB"/>
        </w:rPr>
        <w:t xml:space="preserve">UE </w:t>
      </w:r>
      <w:r w:rsidR="00D5692C">
        <w:rPr>
          <w:lang w:val="en-GB"/>
        </w:rPr>
        <w:t>unwanted emissions</w:t>
      </w:r>
      <w:r>
        <w:rPr>
          <w:lang w:val="en-GB"/>
        </w:rPr>
        <w:t xml:space="preserve"> </w:t>
      </w:r>
      <w:r w:rsidR="00732E9E">
        <w:rPr>
          <w:lang w:val="en-GB"/>
        </w:rPr>
        <w:t>are based on</w:t>
      </w:r>
      <w:r>
        <w:rPr>
          <w:lang w:val="en-GB"/>
        </w:rPr>
        <w:t xml:space="preserve"> E-UTRA spectrum emission mask and spurious emission limit</w:t>
      </w:r>
      <w:r w:rsidR="00732E9E">
        <w:rPr>
          <w:lang w:val="en-GB"/>
        </w:rPr>
        <w:t xml:space="preserve"> unless additional requirement is introduced</w:t>
      </w:r>
      <w:r>
        <w:rPr>
          <w:lang w:val="en-GB"/>
        </w:rPr>
        <w:t>.</w:t>
      </w:r>
      <w:r w:rsidR="00A15A24">
        <w:rPr>
          <w:lang w:val="en-GB"/>
        </w:rPr>
        <w:t xml:space="preserve"> </w:t>
      </w:r>
      <w:r>
        <w:rPr>
          <w:lang w:val="en-GB"/>
        </w:rPr>
        <w:t xml:space="preserve">The </w:t>
      </w:r>
      <w:r w:rsidR="00732E9E">
        <w:rPr>
          <w:lang w:val="en-GB"/>
        </w:rPr>
        <w:t xml:space="preserve">general </w:t>
      </w:r>
      <w:r>
        <w:rPr>
          <w:lang w:val="en-GB"/>
        </w:rPr>
        <w:t>spurious emission limit is -30dBm/MHz in the spurious domain</w:t>
      </w:r>
      <w:r w:rsidR="00D5692C">
        <w:rPr>
          <w:lang w:val="en-GB"/>
        </w:rPr>
        <w:t xml:space="preserve">. The spurious domain is </w:t>
      </w:r>
      <w:r w:rsidR="001F5DDD">
        <w:rPr>
          <w:lang w:val="en-GB"/>
        </w:rPr>
        <w:t>FOOB</w:t>
      </w:r>
      <w:r w:rsidR="00D5692C">
        <w:rPr>
          <w:lang w:val="en-GB"/>
        </w:rPr>
        <w:t xml:space="preserve"> from the channel bandwidth edge</w:t>
      </w:r>
      <w:r w:rsidR="00A15A24">
        <w:rPr>
          <w:lang w:val="en-GB"/>
        </w:rPr>
        <w:t xml:space="preserve">, </w:t>
      </w:r>
      <w:r w:rsidR="00732E9E">
        <w:rPr>
          <w:lang w:val="en-GB"/>
        </w:rPr>
        <w:t>specified in Table 1.</w:t>
      </w:r>
    </w:p>
    <w:p w:rsidR="001F5DDD" w:rsidRDefault="001F5DDD" w:rsidP="00520F8E">
      <w:pPr>
        <w:rPr>
          <w:lang w:val="en-GB"/>
        </w:rPr>
      </w:pPr>
    </w:p>
    <w:p w:rsidR="001F5DDD" w:rsidRPr="0032110F" w:rsidRDefault="001F5DDD" w:rsidP="001F5DDD">
      <w:pPr>
        <w:pStyle w:val="TH"/>
      </w:pPr>
      <w:r w:rsidRPr="0032110F">
        <w:lastRenderedPageBreak/>
        <w:t xml:space="preserve">Table </w:t>
      </w:r>
      <w:r>
        <w:t>1</w:t>
      </w:r>
      <w:r w:rsidRPr="0032110F">
        <w:t>: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5DDD" w:rsidRPr="0032110F" w:rsidTr="00DD2CB0">
        <w:trPr>
          <w:jc w:val="center"/>
        </w:trPr>
        <w:tc>
          <w:tcPr>
            <w:tcW w:w="1345" w:type="dxa"/>
          </w:tcPr>
          <w:p w:rsidR="001F5DDD" w:rsidRPr="00320140" w:rsidRDefault="001F5DDD" w:rsidP="00DD2CB0">
            <w:pPr>
              <w:pStyle w:val="TAH"/>
              <w:rPr>
                <w:rFonts w:cs="Arial"/>
                <w:lang w:val="en-GB" w:eastAsia="en-US"/>
              </w:rPr>
            </w:pPr>
            <w:r w:rsidRPr="00320140">
              <w:rPr>
                <w:rFonts w:cs="Arial"/>
                <w:lang w:val="en-GB" w:eastAsia="en-US"/>
              </w:rPr>
              <w:t xml:space="preserve">Channel bandwidth </w:t>
            </w:r>
          </w:p>
        </w:tc>
        <w:tc>
          <w:tcPr>
            <w:tcW w:w="778" w:type="dxa"/>
          </w:tcPr>
          <w:p w:rsidR="001F5DDD" w:rsidRPr="00320140" w:rsidRDefault="001F5DDD" w:rsidP="00DD2CB0">
            <w:pPr>
              <w:pStyle w:val="TAH"/>
              <w:rPr>
                <w:rFonts w:cs="Arial"/>
                <w:lang w:val="en-GB" w:eastAsia="en-US"/>
              </w:rPr>
            </w:pPr>
            <w:r w:rsidRPr="00320140">
              <w:rPr>
                <w:rFonts w:cs="Arial"/>
                <w:lang w:val="en-GB" w:eastAsia="en-US"/>
              </w:rPr>
              <w:t>1.4</w:t>
            </w:r>
          </w:p>
          <w:p w:rsidR="001F5DDD" w:rsidRPr="00320140" w:rsidRDefault="001F5DDD" w:rsidP="00DD2CB0">
            <w:pPr>
              <w:pStyle w:val="TAH"/>
              <w:rPr>
                <w:rFonts w:cs="Arial"/>
                <w:lang w:val="en-GB" w:eastAsia="en-US"/>
              </w:rPr>
            </w:pPr>
            <w:r w:rsidRPr="00320140">
              <w:rPr>
                <w:rFonts w:cs="Arial"/>
                <w:lang w:val="en-GB" w:eastAsia="en-US"/>
              </w:rPr>
              <w:t>MHz</w:t>
            </w:r>
          </w:p>
        </w:tc>
        <w:tc>
          <w:tcPr>
            <w:tcW w:w="778" w:type="dxa"/>
          </w:tcPr>
          <w:p w:rsidR="001F5DDD" w:rsidRPr="00320140" w:rsidRDefault="001F5DDD" w:rsidP="00DD2CB0">
            <w:pPr>
              <w:pStyle w:val="TAH"/>
              <w:rPr>
                <w:rFonts w:cs="Arial"/>
                <w:lang w:val="en-GB" w:eastAsia="en-US"/>
              </w:rPr>
            </w:pPr>
            <w:r w:rsidRPr="00320140">
              <w:rPr>
                <w:rFonts w:cs="Arial"/>
                <w:lang w:val="en-GB" w:eastAsia="en-US"/>
              </w:rPr>
              <w:t>3.0</w:t>
            </w:r>
          </w:p>
          <w:p w:rsidR="001F5DDD" w:rsidRPr="00320140" w:rsidRDefault="001F5DDD" w:rsidP="00DD2CB0">
            <w:pPr>
              <w:pStyle w:val="TAH"/>
              <w:rPr>
                <w:rFonts w:cs="Arial"/>
                <w:lang w:val="en-GB" w:eastAsia="en-US"/>
              </w:rPr>
            </w:pPr>
            <w:r w:rsidRPr="00320140">
              <w:rPr>
                <w:rFonts w:cs="Arial"/>
                <w:lang w:val="en-GB" w:eastAsia="en-US"/>
              </w:rPr>
              <w:t>MHz</w:t>
            </w:r>
          </w:p>
        </w:tc>
        <w:tc>
          <w:tcPr>
            <w:tcW w:w="778" w:type="dxa"/>
          </w:tcPr>
          <w:p w:rsidR="001F5DDD" w:rsidRPr="00320140" w:rsidRDefault="001F5DDD" w:rsidP="00DD2CB0">
            <w:pPr>
              <w:pStyle w:val="TAH"/>
              <w:rPr>
                <w:rFonts w:cs="Arial"/>
                <w:lang w:val="en-GB" w:eastAsia="en-US"/>
              </w:rPr>
            </w:pPr>
            <w:r w:rsidRPr="00320140">
              <w:rPr>
                <w:rFonts w:cs="Arial"/>
                <w:lang w:val="en-GB" w:eastAsia="en-US"/>
              </w:rPr>
              <w:t>5</w:t>
            </w:r>
          </w:p>
          <w:p w:rsidR="001F5DDD" w:rsidRPr="00320140" w:rsidRDefault="001F5DDD" w:rsidP="00DD2CB0">
            <w:pPr>
              <w:pStyle w:val="TAH"/>
              <w:rPr>
                <w:rFonts w:cs="Arial"/>
                <w:lang w:val="en-GB" w:eastAsia="en-US"/>
              </w:rPr>
            </w:pPr>
            <w:r w:rsidRPr="00320140">
              <w:rPr>
                <w:rFonts w:cs="Arial"/>
                <w:lang w:val="en-GB" w:eastAsia="en-US"/>
              </w:rPr>
              <w:t>MHz</w:t>
            </w:r>
          </w:p>
        </w:tc>
        <w:tc>
          <w:tcPr>
            <w:tcW w:w="779" w:type="dxa"/>
          </w:tcPr>
          <w:p w:rsidR="001F5DDD" w:rsidRPr="00320140" w:rsidRDefault="001F5DDD" w:rsidP="00DD2CB0">
            <w:pPr>
              <w:pStyle w:val="TAH"/>
              <w:rPr>
                <w:rFonts w:cs="Arial"/>
                <w:lang w:val="en-GB" w:eastAsia="en-US"/>
              </w:rPr>
            </w:pPr>
            <w:r w:rsidRPr="00320140">
              <w:rPr>
                <w:rFonts w:cs="Arial"/>
                <w:lang w:val="en-GB" w:eastAsia="en-US"/>
              </w:rPr>
              <w:t>10</w:t>
            </w:r>
          </w:p>
          <w:p w:rsidR="001F5DDD" w:rsidRPr="00320140" w:rsidRDefault="001F5DDD" w:rsidP="00DD2CB0">
            <w:pPr>
              <w:pStyle w:val="TAH"/>
              <w:rPr>
                <w:rFonts w:cs="Arial"/>
                <w:lang w:val="en-GB" w:eastAsia="en-US"/>
              </w:rPr>
            </w:pPr>
            <w:r w:rsidRPr="00320140">
              <w:rPr>
                <w:rFonts w:cs="Arial"/>
                <w:lang w:val="en-GB" w:eastAsia="en-US"/>
              </w:rPr>
              <w:t>MHz</w:t>
            </w:r>
          </w:p>
        </w:tc>
        <w:tc>
          <w:tcPr>
            <w:tcW w:w="778" w:type="dxa"/>
          </w:tcPr>
          <w:p w:rsidR="001F5DDD" w:rsidRPr="00320140" w:rsidRDefault="001F5DDD" w:rsidP="00DD2CB0">
            <w:pPr>
              <w:pStyle w:val="TAH"/>
              <w:rPr>
                <w:rFonts w:cs="Arial"/>
                <w:lang w:val="en-GB" w:eastAsia="en-US"/>
              </w:rPr>
            </w:pPr>
            <w:r w:rsidRPr="00320140">
              <w:rPr>
                <w:rFonts w:cs="Arial"/>
                <w:lang w:val="en-GB" w:eastAsia="en-US"/>
              </w:rPr>
              <w:t>15</w:t>
            </w:r>
          </w:p>
          <w:p w:rsidR="001F5DDD" w:rsidRPr="00320140" w:rsidRDefault="001F5DDD" w:rsidP="00DD2CB0">
            <w:pPr>
              <w:pStyle w:val="TAH"/>
              <w:rPr>
                <w:rFonts w:cs="Arial"/>
                <w:lang w:val="en-GB" w:eastAsia="en-US"/>
              </w:rPr>
            </w:pPr>
            <w:r w:rsidRPr="00320140">
              <w:rPr>
                <w:rFonts w:cs="Arial"/>
                <w:lang w:val="en-GB" w:eastAsia="en-US"/>
              </w:rPr>
              <w:t>MHz</w:t>
            </w:r>
          </w:p>
        </w:tc>
        <w:tc>
          <w:tcPr>
            <w:tcW w:w="779" w:type="dxa"/>
          </w:tcPr>
          <w:p w:rsidR="001F5DDD" w:rsidRPr="00320140" w:rsidRDefault="001F5DDD" w:rsidP="00DD2CB0">
            <w:pPr>
              <w:pStyle w:val="TAH"/>
              <w:rPr>
                <w:rFonts w:cs="Arial"/>
                <w:lang w:val="en-GB" w:eastAsia="en-US"/>
              </w:rPr>
            </w:pPr>
            <w:r w:rsidRPr="00320140">
              <w:rPr>
                <w:rFonts w:cs="Arial"/>
                <w:lang w:val="en-GB" w:eastAsia="en-US"/>
              </w:rPr>
              <w:t>20</w:t>
            </w:r>
          </w:p>
          <w:p w:rsidR="001F5DDD" w:rsidRPr="00320140" w:rsidRDefault="001F5DDD" w:rsidP="00DD2CB0">
            <w:pPr>
              <w:pStyle w:val="TAH"/>
              <w:rPr>
                <w:rFonts w:cs="Arial"/>
                <w:lang w:val="en-GB" w:eastAsia="en-US"/>
              </w:rPr>
            </w:pPr>
            <w:r w:rsidRPr="00320140">
              <w:rPr>
                <w:rFonts w:cs="Arial"/>
                <w:lang w:val="en-GB" w:eastAsia="en-US"/>
              </w:rPr>
              <w:t>MHz</w:t>
            </w:r>
          </w:p>
        </w:tc>
      </w:tr>
      <w:tr w:rsidR="001F5DDD" w:rsidRPr="0032110F" w:rsidTr="00DD2CB0">
        <w:trPr>
          <w:jc w:val="center"/>
        </w:trPr>
        <w:tc>
          <w:tcPr>
            <w:tcW w:w="1345" w:type="dxa"/>
          </w:tcPr>
          <w:p w:rsidR="001F5DDD" w:rsidRPr="00320140" w:rsidRDefault="001F5DDD" w:rsidP="00DD2CB0">
            <w:pPr>
              <w:pStyle w:val="TAC"/>
              <w:rPr>
                <w:rFonts w:cs="Arial"/>
                <w:lang w:val="en-GB" w:eastAsia="en-US"/>
              </w:rPr>
            </w:pPr>
            <w:r w:rsidRPr="00320140">
              <w:rPr>
                <w:rFonts w:cs="Arial"/>
                <w:lang w:val="en-GB" w:eastAsia="en-US"/>
              </w:rPr>
              <w:t>OOB boundary</w:t>
            </w:r>
            <w:r w:rsidRPr="00320140">
              <w:rPr>
                <w:rFonts w:cs="Arial" w:hint="eastAsia"/>
                <w:lang w:val="en-GB" w:eastAsia="zh-CN"/>
              </w:rPr>
              <w:t xml:space="preserve"> </w:t>
            </w:r>
            <w:r w:rsidRPr="00320140">
              <w:rPr>
                <w:rFonts w:cs="Arial"/>
                <w:lang w:val="en-GB" w:eastAsia="en-US"/>
              </w:rPr>
              <w:t>F</w:t>
            </w:r>
            <w:r w:rsidRPr="00320140">
              <w:rPr>
                <w:rFonts w:cs="Arial"/>
                <w:vertAlign w:val="subscript"/>
                <w:lang w:val="en-GB" w:eastAsia="en-US"/>
              </w:rPr>
              <w:t>OOB</w:t>
            </w:r>
            <w:r w:rsidRPr="00320140">
              <w:rPr>
                <w:rFonts w:cs="Arial"/>
                <w:lang w:val="en-GB" w:eastAsia="en-US"/>
              </w:rPr>
              <w:t xml:space="preserve"> (MHz)</w:t>
            </w:r>
          </w:p>
        </w:tc>
        <w:tc>
          <w:tcPr>
            <w:tcW w:w="778" w:type="dxa"/>
          </w:tcPr>
          <w:p w:rsidR="001F5DDD" w:rsidRPr="00320140" w:rsidRDefault="001F5DDD" w:rsidP="00DD2CB0">
            <w:pPr>
              <w:pStyle w:val="TAC"/>
              <w:rPr>
                <w:rFonts w:cs="Arial"/>
                <w:lang w:val="en-GB" w:eastAsia="en-US"/>
              </w:rPr>
            </w:pPr>
            <w:r w:rsidRPr="00320140">
              <w:rPr>
                <w:rFonts w:cs="Arial"/>
                <w:lang w:val="en-GB" w:eastAsia="en-US"/>
              </w:rPr>
              <w:t>2.8</w:t>
            </w:r>
          </w:p>
        </w:tc>
        <w:tc>
          <w:tcPr>
            <w:tcW w:w="778" w:type="dxa"/>
          </w:tcPr>
          <w:p w:rsidR="001F5DDD" w:rsidRPr="00320140" w:rsidRDefault="001F5DDD" w:rsidP="00DD2CB0">
            <w:pPr>
              <w:pStyle w:val="TAC"/>
              <w:rPr>
                <w:rFonts w:cs="Arial"/>
                <w:lang w:val="en-GB" w:eastAsia="en-US"/>
              </w:rPr>
            </w:pPr>
            <w:r w:rsidRPr="00320140">
              <w:rPr>
                <w:rFonts w:cs="Arial"/>
                <w:lang w:val="en-GB" w:eastAsia="en-US"/>
              </w:rPr>
              <w:t>6</w:t>
            </w:r>
          </w:p>
        </w:tc>
        <w:tc>
          <w:tcPr>
            <w:tcW w:w="778" w:type="dxa"/>
          </w:tcPr>
          <w:p w:rsidR="001F5DDD" w:rsidRPr="00320140" w:rsidRDefault="001F5DDD" w:rsidP="00DD2CB0">
            <w:pPr>
              <w:pStyle w:val="TAC"/>
              <w:rPr>
                <w:rFonts w:cs="Arial"/>
                <w:lang w:val="en-GB" w:eastAsia="en-US"/>
              </w:rPr>
            </w:pPr>
            <w:r w:rsidRPr="00320140">
              <w:rPr>
                <w:rFonts w:cs="Arial"/>
                <w:lang w:val="en-GB" w:eastAsia="en-US"/>
              </w:rPr>
              <w:t>10</w:t>
            </w:r>
          </w:p>
        </w:tc>
        <w:tc>
          <w:tcPr>
            <w:tcW w:w="779" w:type="dxa"/>
          </w:tcPr>
          <w:p w:rsidR="001F5DDD" w:rsidRPr="00320140" w:rsidRDefault="001F5DDD" w:rsidP="00DD2CB0">
            <w:pPr>
              <w:pStyle w:val="TAC"/>
              <w:rPr>
                <w:rFonts w:cs="Arial"/>
                <w:lang w:val="en-GB" w:eastAsia="en-US"/>
              </w:rPr>
            </w:pPr>
            <w:r w:rsidRPr="00320140">
              <w:rPr>
                <w:rFonts w:cs="Arial"/>
                <w:lang w:val="en-GB" w:eastAsia="en-US"/>
              </w:rPr>
              <w:t>15</w:t>
            </w:r>
          </w:p>
        </w:tc>
        <w:tc>
          <w:tcPr>
            <w:tcW w:w="778" w:type="dxa"/>
          </w:tcPr>
          <w:p w:rsidR="001F5DDD" w:rsidRPr="00320140" w:rsidRDefault="001F5DDD" w:rsidP="00DD2CB0">
            <w:pPr>
              <w:pStyle w:val="TAC"/>
              <w:rPr>
                <w:rFonts w:cs="Arial"/>
                <w:lang w:val="en-GB" w:eastAsia="en-US"/>
              </w:rPr>
            </w:pPr>
            <w:r w:rsidRPr="00320140">
              <w:rPr>
                <w:rFonts w:cs="Arial"/>
                <w:lang w:val="en-GB" w:eastAsia="en-US"/>
              </w:rPr>
              <w:t>20</w:t>
            </w:r>
          </w:p>
        </w:tc>
        <w:tc>
          <w:tcPr>
            <w:tcW w:w="779" w:type="dxa"/>
          </w:tcPr>
          <w:p w:rsidR="001F5DDD" w:rsidRPr="00320140" w:rsidRDefault="001F5DDD" w:rsidP="00DD2CB0">
            <w:pPr>
              <w:pStyle w:val="TAC"/>
              <w:rPr>
                <w:rFonts w:cs="Arial"/>
                <w:lang w:val="en-GB" w:eastAsia="en-US"/>
              </w:rPr>
            </w:pPr>
            <w:r w:rsidRPr="00320140">
              <w:rPr>
                <w:rFonts w:cs="Arial"/>
                <w:lang w:val="en-GB" w:eastAsia="en-US"/>
              </w:rPr>
              <w:t>25</w:t>
            </w:r>
          </w:p>
        </w:tc>
      </w:tr>
    </w:tbl>
    <w:p w:rsidR="001F5DDD" w:rsidRPr="0032110F" w:rsidRDefault="001F5DDD" w:rsidP="001F5DDD"/>
    <w:p w:rsidR="00A15A24" w:rsidRDefault="001F5DDD" w:rsidP="001F5DDD">
      <w:pPr>
        <w:rPr>
          <w:lang w:val="en-GB"/>
        </w:rPr>
      </w:pPr>
      <w:r>
        <w:rPr>
          <w:lang w:val="en-GB"/>
        </w:rPr>
        <w:t xml:space="preserve">Assuming MES operates above 1520MHz, </w:t>
      </w:r>
      <w:r w:rsidR="00A15A24">
        <w:rPr>
          <w:lang w:val="en-GB"/>
        </w:rPr>
        <w:t>i</w:t>
      </w:r>
      <w:r>
        <w:rPr>
          <w:lang w:val="en-GB"/>
        </w:rPr>
        <w:t xml:space="preserve">f you separate the E-UTRA channel FOOB MHz from 1520MHz, the emission to MES receiver band can be limited below -30dBm/MHz. </w:t>
      </w:r>
    </w:p>
    <w:p w:rsidR="00A22423" w:rsidRDefault="00A15A24" w:rsidP="001F5DDD">
      <w:pPr>
        <w:rPr>
          <w:rFonts w:ascii="Times New Roman" w:hAnsi="Times New Roman"/>
          <w:sz w:val="20"/>
          <w:lang w:val="en-GB"/>
        </w:rPr>
      </w:pPr>
      <w:r>
        <w:rPr>
          <w:lang w:val="en-GB"/>
        </w:rPr>
        <w:t xml:space="preserve">For </w:t>
      </w:r>
      <w:r w:rsidR="001F5DDD">
        <w:rPr>
          <w:lang w:val="en-GB"/>
        </w:rPr>
        <w:t xml:space="preserve">0dBi </w:t>
      </w:r>
      <w:r>
        <w:rPr>
          <w:lang w:val="en-GB"/>
        </w:rPr>
        <w:t>antenna gain assumed for UE</w:t>
      </w:r>
      <w:r w:rsidR="001F5DDD">
        <w:rPr>
          <w:lang w:val="en-GB"/>
        </w:rPr>
        <w:t>, then EI</w:t>
      </w:r>
      <w:r w:rsidR="001E3E98">
        <w:rPr>
          <w:lang w:val="en-GB"/>
        </w:rPr>
        <w:t>RP</w:t>
      </w:r>
      <w:r w:rsidR="001F5DDD">
        <w:rPr>
          <w:lang w:val="en-GB"/>
        </w:rPr>
        <w:t xml:space="preserve"> is limited below -30dBm/MHz</w:t>
      </w:r>
      <w:r>
        <w:rPr>
          <w:lang w:val="en-GB"/>
        </w:rPr>
        <w:t xml:space="preserve"> above 1520MHz</w:t>
      </w:r>
      <w:r w:rsidR="001F5DDD">
        <w:rPr>
          <w:lang w:val="en-GB"/>
        </w:rPr>
        <w:t>.</w:t>
      </w:r>
    </w:p>
    <w:p w:rsidR="00A15A24" w:rsidRDefault="00A15A24" w:rsidP="00A15A24">
      <w:pPr>
        <w:rPr>
          <w:b/>
          <w:i/>
          <w:lang w:val="en-GB"/>
        </w:rPr>
      </w:pPr>
      <w:r w:rsidRPr="00520F8E">
        <w:rPr>
          <w:b/>
          <w:i/>
          <w:lang w:val="en-GB"/>
        </w:rPr>
        <w:t xml:space="preserve">Observation 2: E-UTRA </w:t>
      </w:r>
      <w:r w:rsidR="00410416">
        <w:rPr>
          <w:b/>
          <w:i/>
          <w:lang w:val="en-GB"/>
        </w:rPr>
        <w:t xml:space="preserve">spurious </w:t>
      </w:r>
      <w:r w:rsidRPr="00520F8E">
        <w:rPr>
          <w:b/>
          <w:i/>
          <w:lang w:val="en-GB"/>
        </w:rPr>
        <w:t xml:space="preserve">emission </w:t>
      </w:r>
      <w:r>
        <w:rPr>
          <w:b/>
          <w:i/>
          <w:lang w:val="en-GB"/>
        </w:rPr>
        <w:t xml:space="preserve">characteristic </w:t>
      </w:r>
      <w:r w:rsidR="00410416">
        <w:rPr>
          <w:b/>
          <w:i/>
          <w:lang w:val="en-GB"/>
        </w:rPr>
        <w:t xml:space="preserve">can </w:t>
      </w:r>
      <w:r w:rsidRPr="00520F8E">
        <w:rPr>
          <w:b/>
          <w:i/>
          <w:lang w:val="en-GB"/>
        </w:rPr>
        <w:t xml:space="preserve">achieve -30dBm/MHz </w:t>
      </w:r>
      <w:r>
        <w:rPr>
          <w:b/>
          <w:i/>
          <w:lang w:val="en-GB"/>
        </w:rPr>
        <w:t xml:space="preserve">eirp to MSS band assuming 0dBi antenna </w:t>
      </w:r>
      <w:r w:rsidR="00D44A4C">
        <w:rPr>
          <w:b/>
          <w:i/>
          <w:lang w:val="en-GB"/>
        </w:rPr>
        <w:t xml:space="preserve">gain and FOOB (MHZ) </w:t>
      </w:r>
      <w:r w:rsidR="00410416">
        <w:rPr>
          <w:b/>
          <w:i/>
          <w:lang w:val="en-GB"/>
        </w:rPr>
        <w:t>frequency separation specified in TS36.101.</w:t>
      </w:r>
    </w:p>
    <w:p w:rsidR="00A22423" w:rsidRDefault="00D44A4C" w:rsidP="00D44A4C">
      <w:pPr>
        <w:rPr>
          <w:lang w:val="en-GB"/>
        </w:rPr>
      </w:pPr>
      <w:r>
        <w:rPr>
          <w:lang w:val="en-GB"/>
        </w:rPr>
        <w:t xml:space="preserve">This </w:t>
      </w:r>
      <w:r w:rsidR="00A01584">
        <w:rPr>
          <w:lang w:val="en-GB"/>
        </w:rPr>
        <w:t>minimum frequency separation is illustrated in Figure 1</w:t>
      </w:r>
      <w:r w:rsidR="008267D2">
        <w:rPr>
          <w:lang w:val="en-GB"/>
        </w:rPr>
        <w:t xml:space="preserve"> for each </w:t>
      </w:r>
      <w:r w:rsidR="00A01584">
        <w:rPr>
          <w:lang w:val="en-GB"/>
        </w:rPr>
        <w:t>E-UTRA channel bandwidth</w:t>
      </w:r>
      <w:r w:rsidR="008267D2">
        <w:rPr>
          <w:lang w:val="en-GB"/>
        </w:rPr>
        <w:t xml:space="preserve">. In addition, </w:t>
      </w:r>
      <w:r w:rsidR="00A01584">
        <w:rPr>
          <w:lang w:val="en-GB"/>
        </w:rPr>
        <w:t xml:space="preserve">the minimum </w:t>
      </w:r>
      <w:r w:rsidR="00556110">
        <w:rPr>
          <w:lang w:val="en-GB"/>
        </w:rPr>
        <w:t>separation</w:t>
      </w:r>
      <w:r w:rsidR="00A01584">
        <w:rPr>
          <w:lang w:val="en-GB"/>
        </w:rPr>
        <w:t xml:space="preserve"> for NB-IoT carrier, 1.7MHz, is also show</w:t>
      </w:r>
      <w:r w:rsidR="008267D2">
        <w:rPr>
          <w:lang w:val="en-GB"/>
        </w:rPr>
        <w:t>n</w:t>
      </w:r>
      <w:r w:rsidR="00A01584">
        <w:rPr>
          <w:lang w:val="en-GB"/>
        </w:rPr>
        <w:t xml:space="preserve"> in the figure. Although NB-I</w:t>
      </w:r>
      <w:r w:rsidR="00221535">
        <w:rPr>
          <w:lang w:val="en-GB"/>
        </w:rPr>
        <w:t>o</w:t>
      </w:r>
      <w:r w:rsidR="00A01584">
        <w:rPr>
          <w:lang w:val="en-GB"/>
        </w:rPr>
        <w:t xml:space="preserve">T is not specified yet for TDD bands, </w:t>
      </w:r>
      <w:r w:rsidR="00732E9E">
        <w:rPr>
          <w:lang w:val="en-GB"/>
        </w:rPr>
        <w:t>there is an</w:t>
      </w:r>
      <w:r w:rsidR="00A01584">
        <w:rPr>
          <w:lang w:val="en-GB"/>
        </w:rPr>
        <w:t xml:space="preserve"> ongoing work item</w:t>
      </w:r>
      <w:r w:rsidR="00732E9E">
        <w:rPr>
          <w:lang w:val="en-GB"/>
        </w:rPr>
        <w:t xml:space="preserve"> to support TDD in</w:t>
      </w:r>
      <w:r w:rsidR="00556110">
        <w:rPr>
          <w:lang w:val="en-GB"/>
        </w:rPr>
        <w:t xml:space="preserve"> NB-IoT enhancement</w:t>
      </w:r>
      <w:r w:rsidR="00A01584">
        <w:rPr>
          <w:lang w:val="en-GB"/>
        </w:rPr>
        <w:t xml:space="preserve"> [</w:t>
      </w:r>
      <w:r w:rsidR="00647255">
        <w:rPr>
          <w:lang w:val="en-GB"/>
        </w:rPr>
        <w:t>5</w:t>
      </w:r>
      <w:r w:rsidR="00A01584">
        <w:rPr>
          <w:lang w:val="en-GB"/>
        </w:rPr>
        <w:t xml:space="preserve">], </w:t>
      </w:r>
      <w:r w:rsidR="00556110">
        <w:rPr>
          <w:lang w:val="en-GB"/>
        </w:rPr>
        <w:t xml:space="preserve">in </w:t>
      </w:r>
      <w:r w:rsidR="00A01584">
        <w:rPr>
          <w:lang w:val="en-GB"/>
        </w:rPr>
        <w:t>which we expect</w:t>
      </w:r>
      <w:r w:rsidR="00556110">
        <w:rPr>
          <w:lang w:val="en-GB"/>
        </w:rPr>
        <w:t xml:space="preserve"> that </w:t>
      </w:r>
      <w:r w:rsidR="00A01584">
        <w:rPr>
          <w:lang w:val="en-GB"/>
        </w:rPr>
        <w:t xml:space="preserve">UE emission characteristics </w:t>
      </w:r>
      <w:r w:rsidR="00556110">
        <w:rPr>
          <w:lang w:val="en-GB"/>
        </w:rPr>
        <w:t xml:space="preserve">are specified </w:t>
      </w:r>
      <w:r w:rsidR="00732E9E">
        <w:rPr>
          <w:lang w:val="en-GB"/>
        </w:rPr>
        <w:t>according</w:t>
      </w:r>
      <w:r w:rsidR="00556110">
        <w:rPr>
          <w:lang w:val="en-GB"/>
        </w:rPr>
        <w:t xml:space="preserve"> to</w:t>
      </w:r>
      <w:r w:rsidR="00A01584">
        <w:rPr>
          <w:lang w:val="en-GB"/>
        </w:rPr>
        <w:t xml:space="preserve"> FDD </w:t>
      </w:r>
      <w:r w:rsidR="00732E9E">
        <w:rPr>
          <w:lang w:val="en-GB"/>
        </w:rPr>
        <w:t>requirement</w:t>
      </w:r>
      <w:r w:rsidR="00A01584">
        <w:rPr>
          <w:lang w:val="en-GB"/>
        </w:rPr>
        <w:t>.</w:t>
      </w:r>
    </w:p>
    <w:p w:rsidR="00A22423" w:rsidRDefault="00A22423" w:rsidP="00FD060A">
      <w:pPr>
        <w:pStyle w:val="Doc-text2"/>
        <w:ind w:left="0" w:firstLine="0"/>
        <w:rPr>
          <w:rFonts w:ascii="Times New Roman" w:hAnsi="Times New Roman"/>
          <w:sz w:val="20"/>
          <w:lang w:val="en-GB"/>
        </w:rPr>
      </w:pPr>
      <w:r>
        <w:object w:dxaOrig="20144" w:dyaOrig="4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7pt" o:ole="">
            <v:imagedata r:id="rId12" o:title=""/>
          </v:shape>
          <o:OLEObject Type="Embed" ProgID="Visio.Drawing.11" ShapeID="_x0000_i1025" DrawAspect="Content" ObjectID="_1555600208" r:id="rId13"/>
        </w:object>
      </w:r>
    </w:p>
    <w:p w:rsidR="00D70DD4" w:rsidRDefault="00D70DD4" w:rsidP="00FD060A">
      <w:pPr>
        <w:pStyle w:val="Doc-text2"/>
        <w:ind w:left="0" w:firstLine="0"/>
        <w:rPr>
          <w:rFonts w:ascii="Times New Roman" w:hAnsi="Times New Roman"/>
          <w:sz w:val="20"/>
          <w:lang w:val="en-GB"/>
        </w:rPr>
      </w:pPr>
    </w:p>
    <w:p w:rsidR="001F5DDD" w:rsidRPr="00D44A4C" w:rsidRDefault="00A01584" w:rsidP="00D44A4C">
      <w:pPr>
        <w:pStyle w:val="TH"/>
        <w:rPr>
          <w:i/>
          <w:lang w:val="en-GB"/>
        </w:rPr>
      </w:pPr>
      <w:r>
        <w:t>Figure</w:t>
      </w:r>
      <w:r w:rsidR="00D44A4C" w:rsidRPr="00D44A4C">
        <w:t xml:space="preserve"> 1: </w:t>
      </w:r>
      <w:r w:rsidR="00D44A4C">
        <w:t>Frequency separation from 1520MHz to achieve -30dBm/MHz.</w:t>
      </w:r>
    </w:p>
    <w:p w:rsidR="00A01584" w:rsidRDefault="00556110" w:rsidP="00556110">
      <w:pPr>
        <w:rPr>
          <w:lang w:val="en-GB"/>
        </w:rPr>
      </w:pPr>
      <w:r>
        <w:rPr>
          <w:lang w:val="en-GB"/>
        </w:rPr>
        <w:t xml:space="preserve">From the figure above, it is recommended not to place a large channel bandwidth near the band edge to protect MES receiver. </w:t>
      </w:r>
      <w:r w:rsidR="000C0714">
        <w:rPr>
          <w:lang w:val="en-GB"/>
        </w:rPr>
        <w:t>T</w:t>
      </w:r>
      <w:r>
        <w:rPr>
          <w:lang w:val="en-GB"/>
        </w:rPr>
        <w:t>here is no limitation for NB-IoT UE emission up to 1518MHz</w:t>
      </w:r>
      <w:r w:rsidR="006144DC">
        <w:rPr>
          <w:lang w:val="en-GB"/>
        </w:rPr>
        <w:t xml:space="preserve"> if the MES is above 1520MHz and UE emission limit is -30dBm/MHz. This is aligned with the p</w:t>
      </w:r>
      <w:r w:rsidR="00732E9E">
        <w:rPr>
          <w:lang w:val="en-GB"/>
        </w:rPr>
        <w:t>roposed deployment scenario by administrations considering FDD [6]</w:t>
      </w:r>
      <w:r w:rsidR="00D2749A">
        <w:rPr>
          <w:lang w:val="en-GB"/>
        </w:rPr>
        <w:t>;</w:t>
      </w:r>
      <w:r w:rsidR="00732E9E">
        <w:rPr>
          <w:lang w:val="en-GB"/>
        </w:rPr>
        <w:t xml:space="preserve"> </w:t>
      </w:r>
      <w:r w:rsidR="00D2749A">
        <w:rPr>
          <w:lang w:val="en-GB"/>
        </w:rPr>
        <w:t>t</w:t>
      </w:r>
      <w:r w:rsidR="006144DC">
        <w:rPr>
          <w:lang w:val="en-GB"/>
        </w:rPr>
        <w:t>he upper edge of L-band is assumed for IoT service.</w:t>
      </w:r>
      <w:r w:rsidR="00D2749A">
        <w:rPr>
          <w:lang w:val="en-GB"/>
        </w:rPr>
        <w:t xml:space="preserve"> The same approach can be used for TDD.</w:t>
      </w:r>
    </w:p>
    <w:p w:rsidR="000E5F70" w:rsidRPr="001F5DDD" w:rsidRDefault="001F5DDD" w:rsidP="00520F8E">
      <w:pPr>
        <w:rPr>
          <w:lang w:val="en-GB"/>
        </w:rPr>
      </w:pPr>
      <w:r>
        <w:rPr>
          <w:lang w:val="en-GB"/>
        </w:rPr>
        <w:t xml:space="preserve">If </w:t>
      </w:r>
      <w:r w:rsidR="006C7CB6">
        <w:rPr>
          <w:lang w:val="en-GB"/>
        </w:rPr>
        <w:t>stricter emission requirement</w:t>
      </w:r>
      <w:r w:rsidR="00D2749A">
        <w:rPr>
          <w:lang w:val="en-GB"/>
        </w:rPr>
        <w:t xml:space="preserve"> </w:t>
      </w:r>
      <w:r w:rsidR="000C0714">
        <w:rPr>
          <w:lang w:val="en-GB"/>
        </w:rPr>
        <w:t xml:space="preserve">in terms of emissions and/or guard band </w:t>
      </w:r>
      <w:r w:rsidR="00D2749A">
        <w:rPr>
          <w:lang w:val="en-GB"/>
        </w:rPr>
        <w:t>is needed to protect adjacent services</w:t>
      </w:r>
      <w:r w:rsidR="000B50A7">
        <w:rPr>
          <w:lang w:val="en-GB"/>
        </w:rPr>
        <w:t xml:space="preserve"> more than general spurious emissions</w:t>
      </w:r>
      <w:r w:rsidR="000E5F70">
        <w:rPr>
          <w:lang w:val="en-GB"/>
        </w:rPr>
        <w:t xml:space="preserve">, </w:t>
      </w:r>
      <w:r w:rsidR="006144DC">
        <w:rPr>
          <w:lang w:val="en-GB"/>
        </w:rPr>
        <w:t>typical</w:t>
      </w:r>
      <w:r w:rsidR="006C7CB6">
        <w:rPr>
          <w:lang w:val="en-GB"/>
        </w:rPr>
        <w:t xml:space="preserve"> </w:t>
      </w:r>
      <w:r w:rsidR="000E5F70">
        <w:rPr>
          <w:lang w:val="en-GB"/>
        </w:rPr>
        <w:t>technical solutions</w:t>
      </w:r>
      <w:r w:rsidR="006C7CB6">
        <w:rPr>
          <w:lang w:val="en-GB"/>
        </w:rPr>
        <w:t xml:space="preserve"> </w:t>
      </w:r>
      <w:r w:rsidR="006144DC">
        <w:rPr>
          <w:lang w:val="en-GB"/>
        </w:rPr>
        <w:t>are</w:t>
      </w:r>
      <w:r w:rsidR="006C7CB6">
        <w:rPr>
          <w:lang w:val="en-GB"/>
        </w:rPr>
        <w:t xml:space="preserve"> to assume </w:t>
      </w:r>
      <w:r w:rsidR="006144DC">
        <w:rPr>
          <w:lang w:val="en-GB"/>
        </w:rPr>
        <w:t xml:space="preserve">band-pass </w:t>
      </w:r>
      <w:r w:rsidR="006C7CB6">
        <w:rPr>
          <w:lang w:val="en-GB"/>
        </w:rPr>
        <w:t xml:space="preserve">filter attenuation, transmit power reduction, or </w:t>
      </w:r>
      <w:r w:rsidR="000C0714">
        <w:rPr>
          <w:lang w:val="en-GB"/>
        </w:rPr>
        <w:t>frequency domain limitation</w:t>
      </w:r>
      <w:r w:rsidR="006C7CB6">
        <w:rPr>
          <w:lang w:val="en-GB"/>
        </w:rPr>
        <w:t>, etc.</w:t>
      </w:r>
      <w:r w:rsidR="006144DC">
        <w:rPr>
          <w:lang w:val="en-GB"/>
        </w:rPr>
        <w:t xml:space="preserve"> </w:t>
      </w:r>
      <w:r w:rsidR="00572887">
        <w:rPr>
          <w:lang w:val="en-GB"/>
        </w:rPr>
        <w:t xml:space="preserve">Even though we have not agreed on the TDD band edge frequency, 1517 or 1518 MHz, the expected gap </w:t>
      </w:r>
      <w:r w:rsidR="00D2749A">
        <w:rPr>
          <w:lang w:val="en-GB"/>
        </w:rPr>
        <w:t xml:space="preserve">(like 3MHz) does not provide sufficient </w:t>
      </w:r>
      <w:r w:rsidR="006144DC">
        <w:rPr>
          <w:lang w:val="en-GB"/>
        </w:rPr>
        <w:t xml:space="preserve">filter </w:t>
      </w:r>
      <w:r w:rsidR="00572887">
        <w:rPr>
          <w:lang w:val="en-GB"/>
        </w:rPr>
        <w:t>attenuation in the out of band emissions. Thus</w:t>
      </w:r>
      <w:r w:rsidR="000C0714">
        <w:rPr>
          <w:lang w:val="en-GB"/>
        </w:rPr>
        <w:t>,</w:t>
      </w:r>
      <w:r w:rsidR="00572887">
        <w:rPr>
          <w:lang w:val="en-GB"/>
        </w:rPr>
        <w:t xml:space="preserve"> </w:t>
      </w:r>
      <w:r w:rsidR="000C0714">
        <w:rPr>
          <w:lang w:val="en-GB"/>
        </w:rPr>
        <w:t xml:space="preserve">power reduction by </w:t>
      </w:r>
      <w:r w:rsidR="00572887">
        <w:rPr>
          <w:lang w:val="en-GB"/>
        </w:rPr>
        <w:t xml:space="preserve">A-MPR </w:t>
      </w:r>
      <w:r w:rsidR="000C0714">
        <w:rPr>
          <w:lang w:val="en-GB"/>
        </w:rPr>
        <w:t xml:space="preserve">or Pcmax, </w:t>
      </w:r>
      <w:r w:rsidR="00572887">
        <w:rPr>
          <w:lang w:val="en-GB"/>
        </w:rPr>
        <w:t xml:space="preserve">or </w:t>
      </w:r>
      <w:r w:rsidR="000C0714">
        <w:rPr>
          <w:lang w:val="en-GB"/>
        </w:rPr>
        <w:t xml:space="preserve">otherwise the frequency domain limitation by </w:t>
      </w:r>
      <w:r w:rsidR="00572887">
        <w:rPr>
          <w:lang w:val="en-GB"/>
        </w:rPr>
        <w:t xml:space="preserve">RB </w:t>
      </w:r>
      <w:r w:rsidR="000C0714">
        <w:rPr>
          <w:lang w:val="en-GB"/>
        </w:rPr>
        <w:t>restriction</w:t>
      </w:r>
      <w:r w:rsidR="00572887">
        <w:rPr>
          <w:lang w:val="en-GB"/>
        </w:rPr>
        <w:t xml:space="preserve"> are the </w:t>
      </w:r>
      <w:r w:rsidR="00D2749A">
        <w:rPr>
          <w:lang w:val="en-GB"/>
        </w:rPr>
        <w:t xml:space="preserve">most likely </w:t>
      </w:r>
      <w:r w:rsidR="00572887">
        <w:rPr>
          <w:lang w:val="en-GB"/>
        </w:rPr>
        <w:t>mitigation</w:t>
      </w:r>
      <w:r w:rsidR="009E4687">
        <w:rPr>
          <w:lang w:val="en-GB"/>
        </w:rPr>
        <w:t>s</w:t>
      </w:r>
      <w:r w:rsidR="00572887">
        <w:rPr>
          <w:lang w:val="en-GB"/>
        </w:rPr>
        <w:t xml:space="preserve"> to ac</w:t>
      </w:r>
      <w:r w:rsidR="00D2749A">
        <w:rPr>
          <w:lang w:val="en-GB"/>
        </w:rPr>
        <w:t>hieve the stricter requirement.</w:t>
      </w:r>
    </w:p>
    <w:p w:rsidR="00D2749A" w:rsidRDefault="00D2749A" w:rsidP="006144DC">
      <w:pPr>
        <w:rPr>
          <w:lang w:val="en-GB"/>
        </w:rPr>
      </w:pPr>
      <w:r>
        <w:rPr>
          <w:lang w:val="en-GB"/>
        </w:rPr>
        <w:t xml:space="preserve">For now, no conclusion is </w:t>
      </w:r>
      <w:r w:rsidR="000C0714">
        <w:rPr>
          <w:lang w:val="en-GB"/>
        </w:rPr>
        <w:t>available</w:t>
      </w:r>
      <w:r>
        <w:rPr>
          <w:lang w:val="en-GB"/>
        </w:rPr>
        <w:t xml:space="preserve"> in regulatory bodies regarding the compatibility of IMT </w:t>
      </w:r>
      <w:r w:rsidR="00187AE7">
        <w:rPr>
          <w:lang w:val="en-GB"/>
        </w:rPr>
        <w:t>MS</w:t>
      </w:r>
      <w:r>
        <w:rPr>
          <w:lang w:val="en-GB"/>
        </w:rPr>
        <w:t xml:space="preserve"> and ME</w:t>
      </w:r>
      <w:r w:rsidR="00187AE7">
        <w:rPr>
          <w:lang w:val="en-GB"/>
        </w:rPr>
        <w:t>S</w:t>
      </w:r>
      <w:r>
        <w:rPr>
          <w:lang w:val="en-GB"/>
        </w:rPr>
        <w:t xml:space="preserve">, thus it is </w:t>
      </w:r>
      <w:r w:rsidR="000C0714">
        <w:rPr>
          <w:lang w:val="en-GB"/>
        </w:rPr>
        <w:t xml:space="preserve">difficult what mitigation should be taken to protect MSS. </w:t>
      </w:r>
      <w:r w:rsidR="00B60EEA">
        <w:rPr>
          <w:lang w:val="en-GB"/>
        </w:rPr>
        <w:t>Therefore,</w:t>
      </w:r>
      <w:r w:rsidR="000C0714">
        <w:rPr>
          <w:lang w:val="en-GB"/>
        </w:rPr>
        <w:t xml:space="preserve"> we propose the following</w:t>
      </w:r>
      <w:r>
        <w:rPr>
          <w:lang w:val="en-GB"/>
        </w:rPr>
        <w:t>.</w:t>
      </w:r>
    </w:p>
    <w:p w:rsidR="006144DC" w:rsidRDefault="006144DC" w:rsidP="006144DC">
      <w:pPr>
        <w:rPr>
          <w:b/>
          <w:i/>
          <w:lang w:val="en-GB"/>
        </w:rPr>
      </w:pPr>
      <w:r>
        <w:rPr>
          <w:b/>
          <w:i/>
          <w:lang w:val="en-GB"/>
        </w:rPr>
        <w:t>Proposal 1</w:t>
      </w:r>
      <w:r w:rsidRPr="00520F8E">
        <w:rPr>
          <w:b/>
          <w:i/>
          <w:lang w:val="en-GB"/>
        </w:rPr>
        <w:t xml:space="preserve">: </w:t>
      </w:r>
      <w:r>
        <w:rPr>
          <w:b/>
          <w:i/>
          <w:lang w:val="en-GB"/>
        </w:rPr>
        <w:t xml:space="preserve">It is proposed not to introduce </w:t>
      </w:r>
      <w:r w:rsidR="00D2749A">
        <w:rPr>
          <w:b/>
          <w:i/>
          <w:lang w:val="en-GB"/>
        </w:rPr>
        <w:t>any</w:t>
      </w:r>
      <w:r>
        <w:rPr>
          <w:b/>
          <w:i/>
          <w:lang w:val="en-GB"/>
        </w:rPr>
        <w:t xml:space="preserve"> specific </w:t>
      </w:r>
      <w:r w:rsidR="001D23C1">
        <w:rPr>
          <w:b/>
          <w:i/>
          <w:lang w:val="en-GB"/>
        </w:rPr>
        <w:t xml:space="preserve">UE </w:t>
      </w:r>
      <w:r>
        <w:rPr>
          <w:b/>
          <w:i/>
          <w:lang w:val="en-GB"/>
        </w:rPr>
        <w:t>emission requirement for MSS protection</w:t>
      </w:r>
      <w:r w:rsidR="000C0714">
        <w:rPr>
          <w:b/>
          <w:i/>
          <w:lang w:val="en-GB"/>
        </w:rPr>
        <w:t xml:space="preserve"> other than general spurious emissions apply.</w:t>
      </w:r>
    </w:p>
    <w:p w:rsidR="00D70DD4" w:rsidRDefault="00D70DD4" w:rsidP="00FD060A">
      <w:pPr>
        <w:pStyle w:val="Doc-text2"/>
        <w:ind w:left="0" w:firstLine="0"/>
        <w:rPr>
          <w:rFonts w:ascii="Times New Roman" w:hAnsi="Times New Roman"/>
          <w:sz w:val="20"/>
          <w:lang w:val="en-GB"/>
        </w:rPr>
      </w:pPr>
    </w:p>
    <w:p w:rsidR="00FD060A" w:rsidRDefault="00FD060A" w:rsidP="00FD060A">
      <w:pPr>
        <w:pStyle w:val="Heading1"/>
      </w:pPr>
      <w:r>
        <w:lastRenderedPageBreak/>
        <w:t>3</w:t>
      </w:r>
      <w:r>
        <w:tab/>
        <w:t>Conclusion</w:t>
      </w:r>
    </w:p>
    <w:p w:rsidR="000C0714" w:rsidRPr="000C0714" w:rsidRDefault="000C0714" w:rsidP="00D44A4C">
      <w:pPr>
        <w:rPr>
          <w:lang w:val="en-GB"/>
        </w:rPr>
      </w:pPr>
      <w:r>
        <w:rPr>
          <w:lang w:val="en-GB"/>
        </w:rPr>
        <w:t>We have discussed the MSS protection issue for L-band TDD UE. The following conclusions are made.</w:t>
      </w:r>
    </w:p>
    <w:p w:rsidR="00D44A4C" w:rsidRPr="00A22423" w:rsidRDefault="00D44A4C" w:rsidP="00D44A4C">
      <w:pPr>
        <w:rPr>
          <w:b/>
          <w:i/>
          <w:lang w:val="en-GB"/>
        </w:rPr>
      </w:pPr>
      <w:r w:rsidRPr="00A22423">
        <w:rPr>
          <w:b/>
          <w:i/>
          <w:lang w:val="en-GB"/>
        </w:rPr>
        <w:t xml:space="preserve">Observation 1: Compatibility between IMT MS and MES needs further </w:t>
      </w:r>
      <w:r>
        <w:rPr>
          <w:b/>
          <w:i/>
          <w:lang w:val="en-GB"/>
        </w:rPr>
        <w:t xml:space="preserve">study in regulatory </w:t>
      </w:r>
      <w:r w:rsidR="001D23C1">
        <w:rPr>
          <w:b/>
          <w:i/>
          <w:lang w:val="en-GB"/>
        </w:rPr>
        <w:t>bodies</w:t>
      </w:r>
      <w:r w:rsidRPr="00A22423">
        <w:rPr>
          <w:b/>
          <w:i/>
          <w:lang w:val="en-GB"/>
        </w:rPr>
        <w:t>. RAN4 cannot conclude the coexistence requirement with satellite systems.</w:t>
      </w:r>
    </w:p>
    <w:p w:rsidR="00D44A4C" w:rsidRDefault="00D44A4C" w:rsidP="00D44A4C">
      <w:pPr>
        <w:rPr>
          <w:b/>
          <w:i/>
          <w:lang w:val="en-GB"/>
        </w:rPr>
      </w:pPr>
      <w:r w:rsidRPr="00520F8E">
        <w:rPr>
          <w:b/>
          <w:i/>
          <w:lang w:val="en-GB"/>
        </w:rPr>
        <w:t xml:space="preserve">Observation 2: E-UTRA </w:t>
      </w:r>
      <w:r>
        <w:rPr>
          <w:b/>
          <w:i/>
          <w:lang w:val="en-GB"/>
        </w:rPr>
        <w:t xml:space="preserve">spurious </w:t>
      </w:r>
      <w:r w:rsidRPr="00520F8E">
        <w:rPr>
          <w:b/>
          <w:i/>
          <w:lang w:val="en-GB"/>
        </w:rPr>
        <w:t xml:space="preserve">emission </w:t>
      </w:r>
      <w:r>
        <w:rPr>
          <w:b/>
          <w:i/>
          <w:lang w:val="en-GB"/>
        </w:rPr>
        <w:t xml:space="preserve">characteristic can </w:t>
      </w:r>
      <w:r w:rsidRPr="00520F8E">
        <w:rPr>
          <w:b/>
          <w:i/>
          <w:lang w:val="en-GB"/>
        </w:rPr>
        <w:t xml:space="preserve">achieve -30dBm/MHz </w:t>
      </w:r>
      <w:r>
        <w:rPr>
          <w:b/>
          <w:i/>
          <w:lang w:val="en-GB"/>
        </w:rPr>
        <w:t>eirp to MSS band assuming 0dBi antenna gain and FOOB (MHZ) frequency separation specified in TS36.101.</w:t>
      </w:r>
    </w:p>
    <w:p w:rsidR="000C0714" w:rsidRDefault="000C0714" w:rsidP="000C0714">
      <w:pPr>
        <w:rPr>
          <w:b/>
          <w:i/>
          <w:lang w:val="en-GB"/>
        </w:rPr>
      </w:pPr>
      <w:r>
        <w:rPr>
          <w:b/>
          <w:i/>
          <w:lang w:val="en-GB"/>
        </w:rPr>
        <w:t>Proposal 1</w:t>
      </w:r>
      <w:r w:rsidRPr="00520F8E">
        <w:rPr>
          <w:b/>
          <w:i/>
          <w:lang w:val="en-GB"/>
        </w:rPr>
        <w:t xml:space="preserve">: </w:t>
      </w:r>
      <w:r>
        <w:rPr>
          <w:b/>
          <w:i/>
          <w:lang w:val="en-GB"/>
        </w:rPr>
        <w:t>It is proposed not to introduce any specific UE emission requirement for MSS protection other than general spurious emissions apply.</w:t>
      </w:r>
    </w:p>
    <w:p w:rsidR="00E86386" w:rsidRPr="002506C5" w:rsidRDefault="00E86386" w:rsidP="00423A6A">
      <w:pPr>
        <w:jc w:val="both"/>
        <w:rPr>
          <w:rFonts w:ascii="Times New Roman" w:hAnsi="Times New Roman"/>
          <w:sz w:val="20"/>
          <w:lang w:val="en-GB"/>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877C60" w:rsidRPr="00732E9E" w:rsidRDefault="00877C60" w:rsidP="00877C60">
      <w:pPr>
        <w:numPr>
          <w:ilvl w:val="0"/>
          <w:numId w:val="1"/>
        </w:numPr>
        <w:spacing w:after="120"/>
        <w:jc w:val="both"/>
        <w:rPr>
          <w:bCs/>
        </w:rPr>
      </w:pPr>
      <w:r w:rsidRPr="00732E9E">
        <w:rPr>
          <w:bCs/>
        </w:rPr>
        <w:t>R4-1703516</w:t>
      </w:r>
      <w:r w:rsidRPr="00732E9E">
        <w:rPr>
          <w:bCs/>
        </w:rPr>
        <w:tab/>
      </w:r>
      <w:r w:rsidRPr="00732E9E">
        <w:rPr>
          <w:bCs/>
        </w:rPr>
        <w:tab/>
        <w:t>UE TDD L-Band UE emission for MSS protection, Huawei</w:t>
      </w:r>
    </w:p>
    <w:p w:rsidR="00877C60" w:rsidRPr="00732E9E" w:rsidRDefault="00877C60" w:rsidP="00877C60">
      <w:pPr>
        <w:numPr>
          <w:ilvl w:val="0"/>
          <w:numId w:val="1"/>
        </w:numPr>
        <w:spacing w:after="120"/>
        <w:jc w:val="both"/>
        <w:rPr>
          <w:bCs/>
        </w:rPr>
      </w:pPr>
      <w:r w:rsidRPr="00732E9E">
        <w:rPr>
          <w:bCs/>
        </w:rPr>
        <w:t>R4-1704098</w:t>
      </w:r>
      <w:r w:rsidRPr="00732E9E">
        <w:rPr>
          <w:bCs/>
        </w:rPr>
        <w:tab/>
      </w:r>
      <w:r w:rsidRPr="00732E9E">
        <w:rPr>
          <w:bCs/>
        </w:rPr>
        <w:tab/>
        <w:t>Band plan options 1.5 GHz TDD band, Huawei</w:t>
      </w:r>
    </w:p>
    <w:p w:rsidR="000253FC" w:rsidRPr="00732E9E" w:rsidRDefault="000253FC" w:rsidP="000253FC">
      <w:pPr>
        <w:numPr>
          <w:ilvl w:val="0"/>
          <w:numId w:val="1"/>
        </w:numPr>
        <w:spacing w:after="120"/>
        <w:jc w:val="both"/>
        <w:rPr>
          <w:bCs/>
        </w:rPr>
      </w:pPr>
      <w:r w:rsidRPr="00732E9E">
        <w:rPr>
          <w:bCs/>
        </w:rPr>
        <w:t>ECC report 263</w:t>
      </w:r>
      <w:r w:rsidRPr="00732E9E">
        <w:rPr>
          <w:bCs/>
        </w:rPr>
        <w:tab/>
        <w:t>Adjacent band compatibility studies between IMT operating in the frequency band 1492-1518 MHz and the MSS operating in the frequency band 1518-1525 MHz</w:t>
      </w:r>
    </w:p>
    <w:p w:rsidR="00A15A24" w:rsidRPr="00732E9E" w:rsidRDefault="00A15A24" w:rsidP="00A15A24">
      <w:pPr>
        <w:numPr>
          <w:ilvl w:val="0"/>
          <w:numId w:val="1"/>
        </w:numPr>
        <w:spacing w:after="120"/>
        <w:jc w:val="both"/>
        <w:rPr>
          <w:bCs/>
        </w:rPr>
      </w:pPr>
      <w:r w:rsidRPr="00732E9E">
        <w:rPr>
          <w:bCs/>
        </w:rPr>
        <w:t>RP-170304</w:t>
      </w:r>
      <w:r w:rsidRPr="00732E9E">
        <w:rPr>
          <w:bCs/>
        </w:rPr>
        <w:tab/>
      </w:r>
      <w:r w:rsidRPr="00732E9E">
        <w:rPr>
          <w:bCs/>
        </w:rPr>
        <w:tab/>
        <w:t>Revision of WI: TDD operating band in the L-band for LTE</w:t>
      </w:r>
    </w:p>
    <w:p w:rsidR="00647255" w:rsidRPr="00732E9E" w:rsidRDefault="00647255" w:rsidP="00647255">
      <w:pPr>
        <w:numPr>
          <w:ilvl w:val="0"/>
          <w:numId w:val="1"/>
        </w:numPr>
        <w:spacing w:after="120"/>
        <w:jc w:val="both"/>
        <w:rPr>
          <w:bCs/>
        </w:rPr>
      </w:pPr>
      <w:r w:rsidRPr="00732E9E">
        <w:rPr>
          <w:bCs/>
        </w:rPr>
        <w:t>RP-170852</w:t>
      </w:r>
      <w:r w:rsidRPr="00732E9E">
        <w:rPr>
          <w:bCs/>
        </w:rPr>
        <w:tab/>
      </w:r>
      <w:r w:rsidRPr="00732E9E">
        <w:rPr>
          <w:bCs/>
        </w:rPr>
        <w:tab/>
        <w:t>New WID on Further NB-IoT enhancements</w:t>
      </w:r>
    </w:p>
    <w:p w:rsidR="000253FC" w:rsidRPr="00732E9E" w:rsidRDefault="00293BE6" w:rsidP="00293BE6">
      <w:pPr>
        <w:numPr>
          <w:ilvl w:val="0"/>
          <w:numId w:val="1"/>
        </w:numPr>
        <w:spacing w:after="120"/>
        <w:jc w:val="both"/>
        <w:rPr>
          <w:bCs/>
        </w:rPr>
      </w:pPr>
      <w:r w:rsidRPr="00732E9E">
        <w:rPr>
          <w:bCs/>
        </w:rPr>
        <w:t>5D/</w:t>
      </w:r>
      <w:r w:rsidR="001964C0" w:rsidRPr="00732E9E">
        <w:rPr>
          <w:bCs/>
        </w:rPr>
        <w:t>316</w:t>
      </w:r>
      <w:r w:rsidRPr="00732E9E">
        <w:rPr>
          <w:bCs/>
        </w:rPr>
        <w:t xml:space="preserve"> PROPOSAL FOR THE REVISION OF RECOMMENDATION ITU-R M.1036-5 TO INCLUDE FREQUENCY ARRANGEMENT IN THE BAND 1 427-1 518 MHz CONSIDERING POSSIBLE APPROACH FOR PROTECTION OF MSS ABOVE 1518 MHz</w:t>
      </w:r>
    </w:p>
    <w:sectPr w:rsidR="000253FC" w:rsidRPr="00732E9E"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FBE" w:rsidRDefault="00C46FBE">
      <w:r>
        <w:separator/>
      </w:r>
    </w:p>
  </w:endnote>
  <w:endnote w:type="continuationSeparator" w:id="0">
    <w:p w:rsidR="00C46FBE" w:rsidRDefault="00C4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FBE" w:rsidRDefault="00C46FBE">
      <w:r>
        <w:separator/>
      </w:r>
    </w:p>
  </w:footnote>
  <w:footnote w:type="continuationSeparator" w:id="0">
    <w:p w:rsidR="00C46FBE" w:rsidRDefault="00C46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2"/>
  </w:num>
  <w:num w:numId="4">
    <w:abstractNumId w:val="23"/>
  </w:num>
  <w:num w:numId="5">
    <w:abstractNumId w:val="25"/>
  </w:num>
  <w:num w:numId="6">
    <w:abstractNumId w:val="19"/>
  </w:num>
  <w:num w:numId="7">
    <w:abstractNumId w:val="4"/>
  </w:num>
  <w:num w:numId="8">
    <w:abstractNumId w:val="8"/>
  </w:num>
  <w:num w:numId="9">
    <w:abstractNumId w:val="16"/>
  </w:num>
  <w:num w:numId="10">
    <w:abstractNumId w:val="16"/>
    <w:lvlOverride w:ilvl="0">
      <w:startOverride w:val="1"/>
    </w:lvlOverride>
  </w:num>
  <w:num w:numId="11">
    <w:abstractNumId w:val="22"/>
  </w:num>
  <w:num w:numId="12">
    <w:abstractNumId w:val="15"/>
  </w:num>
  <w:num w:numId="13">
    <w:abstractNumId w:val="9"/>
  </w:num>
  <w:num w:numId="14">
    <w:abstractNumId w:val="17"/>
  </w:num>
  <w:num w:numId="15">
    <w:abstractNumId w:val="10"/>
  </w:num>
  <w:num w:numId="16">
    <w:abstractNumId w:val="7"/>
  </w:num>
  <w:num w:numId="17">
    <w:abstractNumId w:val="3"/>
  </w:num>
  <w:num w:numId="18">
    <w:abstractNumId w:val="20"/>
  </w:num>
  <w:num w:numId="19">
    <w:abstractNumId w:val="11"/>
  </w:num>
  <w:num w:numId="20">
    <w:abstractNumId w:val="14"/>
  </w:num>
  <w:num w:numId="21">
    <w:abstractNumId w:val="21"/>
  </w:num>
  <w:num w:numId="22">
    <w:abstractNumId w:val="24"/>
  </w:num>
  <w:num w:numId="23">
    <w:abstractNumId w:val="13"/>
  </w:num>
  <w:num w:numId="24">
    <w:abstractNumId w:val="6"/>
  </w:num>
  <w:num w:numId="25">
    <w:abstractNumId w:val="18"/>
  </w:num>
  <w:num w:numId="26">
    <w:abstractNumId w:val="2"/>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A9D"/>
    <w:rsid w:val="000B3F94"/>
    <w:rsid w:val="000B47DA"/>
    <w:rsid w:val="000B50A7"/>
    <w:rsid w:val="000B5875"/>
    <w:rsid w:val="000B64B0"/>
    <w:rsid w:val="000B6692"/>
    <w:rsid w:val="000B6A1C"/>
    <w:rsid w:val="000B766E"/>
    <w:rsid w:val="000B7B63"/>
    <w:rsid w:val="000C0167"/>
    <w:rsid w:val="000C0714"/>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3C1"/>
    <w:rsid w:val="001D2F62"/>
    <w:rsid w:val="001D363B"/>
    <w:rsid w:val="001D3B95"/>
    <w:rsid w:val="001D41AD"/>
    <w:rsid w:val="001D6678"/>
    <w:rsid w:val="001E065E"/>
    <w:rsid w:val="001E2449"/>
    <w:rsid w:val="001E3C32"/>
    <w:rsid w:val="001E3E98"/>
    <w:rsid w:val="001E4473"/>
    <w:rsid w:val="001E4AD8"/>
    <w:rsid w:val="001E4ADF"/>
    <w:rsid w:val="001E530D"/>
    <w:rsid w:val="001E59C3"/>
    <w:rsid w:val="001E5ED3"/>
    <w:rsid w:val="001E5F13"/>
    <w:rsid w:val="001E71DF"/>
    <w:rsid w:val="001E7260"/>
    <w:rsid w:val="001F00DB"/>
    <w:rsid w:val="001F02B8"/>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D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3BE6"/>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C46"/>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15B2"/>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B55"/>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1C50"/>
    <w:rsid w:val="005A1FD9"/>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73B"/>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3F7D"/>
    <w:rsid w:val="00694270"/>
    <w:rsid w:val="006944F3"/>
    <w:rsid w:val="00694B46"/>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375D3"/>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1C49"/>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C42"/>
    <w:rsid w:val="00A14D40"/>
    <w:rsid w:val="00A1575C"/>
    <w:rsid w:val="00A15A24"/>
    <w:rsid w:val="00A15A9B"/>
    <w:rsid w:val="00A16294"/>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024"/>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60272"/>
    <w:rsid w:val="00B60800"/>
    <w:rsid w:val="00B60EEA"/>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E02B4"/>
    <w:rsid w:val="00BE04FE"/>
    <w:rsid w:val="00BE05B6"/>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11D"/>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5681"/>
    <w:rsid w:val="00C26CD4"/>
    <w:rsid w:val="00C275B1"/>
    <w:rsid w:val="00C31852"/>
    <w:rsid w:val="00C31878"/>
    <w:rsid w:val="00C3187D"/>
    <w:rsid w:val="00C328B1"/>
    <w:rsid w:val="00C32C8F"/>
    <w:rsid w:val="00C32CA6"/>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6FBE"/>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8F5"/>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689E"/>
    <w:rsid w:val="00D37E2C"/>
    <w:rsid w:val="00D40835"/>
    <w:rsid w:val="00D41ADD"/>
    <w:rsid w:val="00D433D2"/>
    <w:rsid w:val="00D44018"/>
    <w:rsid w:val="00D440BD"/>
    <w:rsid w:val="00D44806"/>
    <w:rsid w:val="00D44A4C"/>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6E5"/>
    <w:rsid w:val="00D97EE0"/>
    <w:rsid w:val="00DA0591"/>
    <w:rsid w:val="00DA0E18"/>
    <w:rsid w:val="00DA1378"/>
    <w:rsid w:val="00DA1F25"/>
    <w:rsid w:val="00DA2642"/>
    <w:rsid w:val="00DA2C25"/>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1042"/>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D78"/>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0F5E"/>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BCD"/>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9AABFD"/>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01042"/>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10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04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D8D7E761-796B-458E-8D9A-F028F33C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3283</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54</cp:revision>
  <dcterms:created xsi:type="dcterms:W3CDTF">2017-01-27T06:49:00Z</dcterms:created>
  <dcterms:modified xsi:type="dcterms:W3CDTF">2017-05-06T09:24:00Z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